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63D1" w14:textId="72401972" w:rsidR="00F63200" w:rsidRDefault="00D00BA1" w:rsidP="001A3C71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201D2B5E" wp14:editId="77FAFA42">
            <wp:simplePos x="0" y="0"/>
            <wp:positionH relativeFrom="margin">
              <wp:align>left</wp:align>
            </wp:positionH>
            <wp:positionV relativeFrom="paragraph">
              <wp:posOffset>-971550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A94">
        <w:rPr>
          <w:b/>
          <w:sz w:val="32"/>
          <w:szCs w:val="24"/>
        </w:rPr>
        <w:t>Reporting Infectious Diseases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599A4E07" w:rsidR="00076145" w:rsidRPr="00E55D65" w:rsidRDefault="00D30357" w:rsidP="004B6B13">
      <w:pPr>
        <w:rPr>
          <w:b/>
          <w:bCs/>
          <w:sz w:val="24"/>
          <w:szCs w:val="24"/>
          <w:u w:val="single"/>
        </w:rPr>
      </w:pPr>
      <w:r w:rsidRPr="00E55D65">
        <w:rPr>
          <w:b/>
          <w:bCs/>
          <w:sz w:val="24"/>
          <w:szCs w:val="24"/>
          <w:u w:val="single"/>
        </w:rPr>
        <w:t>Policy</w:t>
      </w:r>
    </w:p>
    <w:p w14:paraId="41C9D85F" w14:textId="23B3A091" w:rsidR="00B5323D" w:rsidRPr="00563A94" w:rsidRDefault="00563A94" w:rsidP="00563A94">
      <w:pPr>
        <w:rPr>
          <w:sz w:val="24"/>
          <w:szCs w:val="24"/>
        </w:rPr>
      </w:pPr>
      <w:r>
        <w:rPr>
          <w:sz w:val="24"/>
          <w:szCs w:val="24"/>
        </w:rPr>
        <w:t xml:space="preserve">The Iowa Department of Public Health </w:t>
      </w:r>
      <w:r w:rsidR="00A342CD">
        <w:rPr>
          <w:sz w:val="24"/>
          <w:szCs w:val="24"/>
        </w:rPr>
        <w:t xml:space="preserve">establishes a list of reportable infectious diseases.  Nursing Homes must comply with reporting infectious diseases that are identified on </w:t>
      </w:r>
      <w:r w:rsidR="00DD3830">
        <w:rPr>
          <w:sz w:val="24"/>
          <w:szCs w:val="24"/>
        </w:rPr>
        <w:t xml:space="preserve">this list. </w:t>
      </w:r>
    </w:p>
    <w:p w14:paraId="66861D93" w14:textId="2EE04393" w:rsidR="00310C80" w:rsidRPr="00E55D65" w:rsidRDefault="00310C80" w:rsidP="004B6B13">
      <w:pPr>
        <w:rPr>
          <w:b/>
          <w:bCs/>
          <w:sz w:val="24"/>
          <w:szCs w:val="24"/>
          <w:u w:val="single"/>
        </w:rPr>
      </w:pPr>
      <w:r w:rsidRPr="00E55D65">
        <w:rPr>
          <w:b/>
          <w:bCs/>
          <w:sz w:val="24"/>
          <w:szCs w:val="24"/>
          <w:u w:val="single"/>
        </w:rPr>
        <w:t>Procedures</w:t>
      </w:r>
    </w:p>
    <w:p w14:paraId="41BB3BB2" w14:textId="4E1A7C57" w:rsidR="001734C1" w:rsidRPr="00E55D65" w:rsidRDefault="001734C1" w:rsidP="00076145">
      <w:pPr>
        <w:rPr>
          <w:sz w:val="24"/>
          <w:szCs w:val="24"/>
        </w:rPr>
      </w:pPr>
      <w:r w:rsidRPr="00E55D65">
        <w:rPr>
          <w:sz w:val="24"/>
          <w:szCs w:val="24"/>
        </w:rPr>
        <w:t xml:space="preserve">The Iowa Department of Public Health identifies reportable infectious processes </w:t>
      </w:r>
      <w:r w:rsidR="000C1786" w:rsidRPr="00E55D65">
        <w:rPr>
          <w:sz w:val="24"/>
          <w:szCs w:val="24"/>
        </w:rPr>
        <w:t xml:space="preserve">on their website located at </w:t>
      </w:r>
      <w:hyperlink r:id="rId11" w:history="1">
        <w:r w:rsidR="00363A16" w:rsidRPr="00E55D65">
          <w:rPr>
            <w:rStyle w:val="Hyperlink"/>
            <w:color w:val="007DB1"/>
            <w:sz w:val="24"/>
            <w:szCs w:val="24"/>
          </w:rPr>
          <w:t>https://idph.iowa.gov/CADE/reportable-diseases</w:t>
        </w:r>
      </w:hyperlink>
      <w:r w:rsidR="00363A16" w:rsidRPr="00E55D65">
        <w:rPr>
          <w:sz w:val="24"/>
          <w:szCs w:val="24"/>
        </w:rPr>
        <w:t xml:space="preserve">. </w:t>
      </w:r>
    </w:p>
    <w:p w14:paraId="7E8A5CBE" w14:textId="60313BFF" w:rsidR="00363A16" w:rsidRPr="00E55D65" w:rsidRDefault="00363A16" w:rsidP="00076145">
      <w:pPr>
        <w:rPr>
          <w:sz w:val="24"/>
          <w:szCs w:val="24"/>
        </w:rPr>
      </w:pPr>
      <w:r w:rsidRPr="00E55D65">
        <w:rPr>
          <w:sz w:val="24"/>
          <w:szCs w:val="24"/>
        </w:rPr>
        <w:t xml:space="preserve">Outbreaks identified in nursing homes should be reported immediately to the Iowa Department of Public Health that occur in unusual numbers, circumstances, unusual </w:t>
      </w:r>
      <w:r w:rsidR="00E55D65" w:rsidRPr="00E55D65">
        <w:rPr>
          <w:sz w:val="24"/>
          <w:szCs w:val="24"/>
        </w:rPr>
        <w:t>syndromes,</w:t>
      </w:r>
      <w:r w:rsidRPr="00E55D65">
        <w:rPr>
          <w:sz w:val="24"/>
          <w:szCs w:val="24"/>
        </w:rPr>
        <w:t xml:space="preserve"> and uncommon diseases.  </w:t>
      </w:r>
      <w:r w:rsidR="005B6F47" w:rsidRPr="00E55D65">
        <w:rPr>
          <w:sz w:val="24"/>
          <w:szCs w:val="24"/>
        </w:rPr>
        <w:t xml:space="preserve">Outbreaks may be infectious, </w:t>
      </w:r>
      <w:r w:rsidR="00E55D65" w:rsidRPr="00E55D65">
        <w:rPr>
          <w:sz w:val="24"/>
          <w:szCs w:val="24"/>
        </w:rPr>
        <w:t>environmental,</w:t>
      </w:r>
      <w:r w:rsidR="005B6F47" w:rsidRPr="00E55D65">
        <w:rPr>
          <w:sz w:val="24"/>
          <w:szCs w:val="24"/>
        </w:rPr>
        <w:t xml:space="preserve"> or occupational in origin and include food-borne outbreaks</w:t>
      </w:r>
      <w:r w:rsidR="00E824D7" w:rsidRPr="00E55D65">
        <w:rPr>
          <w:sz w:val="24"/>
          <w:szCs w:val="24"/>
        </w:rPr>
        <w:t xml:space="preserve">.  </w:t>
      </w:r>
    </w:p>
    <w:p w14:paraId="3F02B782" w14:textId="203534ED" w:rsidR="00E824D7" w:rsidRPr="00E55D65" w:rsidRDefault="00E824D7" w:rsidP="00076145">
      <w:pPr>
        <w:rPr>
          <w:sz w:val="24"/>
          <w:szCs w:val="24"/>
        </w:rPr>
      </w:pPr>
      <w:r w:rsidRPr="00E55D65">
        <w:rPr>
          <w:sz w:val="24"/>
          <w:szCs w:val="24"/>
        </w:rPr>
        <w:t xml:space="preserve">Bioterrorism reported diseases, syndromes, </w:t>
      </w:r>
      <w:r w:rsidR="00E55D65" w:rsidRPr="00E55D65">
        <w:rPr>
          <w:sz w:val="24"/>
          <w:szCs w:val="24"/>
        </w:rPr>
        <w:t>poisonings,</w:t>
      </w:r>
      <w:r w:rsidRPr="00E55D65">
        <w:rPr>
          <w:sz w:val="24"/>
          <w:szCs w:val="24"/>
        </w:rPr>
        <w:t xml:space="preserve"> and conditions of any kind suspected or caused by a biological, </w:t>
      </w:r>
      <w:r w:rsidR="00E55D65" w:rsidRPr="00E55D65">
        <w:rPr>
          <w:sz w:val="24"/>
          <w:szCs w:val="24"/>
        </w:rPr>
        <w:t>chemical,</w:t>
      </w:r>
      <w:r w:rsidRPr="00E55D65">
        <w:rPr>
          <w:sz w:val="24"/>
          <w:szCs w:val="24"/>
        </w:rPr>
        <w:t xml:space="preserve"> or radiological agent or toxin where there is reasonable suspicion that the disease, syndrome, poisoning or condition may be the result of a deliberate act such as terrorism</w:t>
      </w:r>
      <w:r w:rsidR="009317FB" w:rsidRPr="00E55D65">
        <w:rPr>
          <w:sz w:val="24"/>
          <w:szCs w:val="24"/>
        </w:rPr>
        <w:t xml:space="preserve">, should be reported immediately to the Iowa Department of Public Health.  Examples including anthrax, mustard gas, sarin gas, ricin, </w:t>
      </w:r>
      <w:r w:rsidR="00E55D65" w:rsidRPr="00E55D65">
        <w:rPr>
          <w:sz w:val="24"/>
          <w:szCs w:val="24"/>
        </w:rPr>
        <w:t>tularemia,</w:t>
      </w:r>
      <w:r w:rsidR="009317FB" w:rsidRPr="00E55D65">
        <w:rPr>
          <w:sz w:val="24"/>
          <w:szCs w:val="24"/>
        </w:rPr>
        <w:t xml:space="preserve"> and smallpox.  </w:t>
      </w:r>
    </w:p>
    <w:p w14:paraId="43959A8F" w14:textId="68C1ACC4" w:rsidR="009317FB" w:rsidRPr="00E55D65" w:rsidRDefault="009317FB" w:rsidP="00076145">
      <w:pPr>
        <w:rPr>
          <w:sz w:val="24"/>
          <w:szCs w:val="24"/>
        </w:rPr>
      </w:pPr>
      <w:r w:rsidRPr="00E55D65">
        <w:rPr>
          <w:sz w:val="24"/>
          <w:szCs w:val="24"/>
        </w:rPr>
        <w:t>Reportable Diseases</w:t>
      </w:r>
      <w:r w:rsidR="006203AD" w:rsidRPr="00E55D65">
        <w:rPr>
          <w:sz w:val="24"/>
          <w:szCs w:val="24"/>
        </w:rPr>
        <w:t xml:space="preserve"> should be reported to the Iowa Department of Public Health within the time frame identified on the chart on their </w:t>
      </w:r>
      <w:hyperlink r:id="rId12" w:history="1">
        <w:r w:rsidR="006203AD" w:rsidRPr="00E55D65">
          <w:rPr>
            <w:rStyle w:val="Hyperlink"/>
            <w:color w:val="007DB1"/>
            <w:sz w:val="24"/>
            <w:szCs w:val="24"/>
          </w:rPr>
          <w:t>website</w:t>
        </w:r>
      </w:hyperlink>
      <w:r w:rsidR="006203AD" w:rsidRPr="00E55D65">
        <w:rPr>
          <w:color w:val="007DB1"/>
          <w:sz w:val="24"/>
          <w:szCs w:val="24"/>
        </w:rPr>
        <w:t xml:space="preserve"> </w:t>
      </w:r>
      <w:r w:rsidR="006203AD" w:rsidRPr="00E55D65">
        <w:rPr>
          <w:sz w:val="24"/>
          <w:szCs w:val="24"/>
        </w:rPr>
        <w:t xml:space="preserve">and by the method indicated by the disease on the chart.  </w:t>
      </w:r>
    </w:p>
    <w:p w14:paraId="690DD303" w14:textId="04CBFC1B" w:rsidR="008F637B" w:rsidRPr="00E55D65" w:rsidRDefault="008F637B" w:rsidP="00076145">
      <w:pPr>
        <w:rPr>
          <w:sz w:val="24"/>
          <w:szCs w:val="24"/>
        </w:rPr>
      </w:pPr>
      <w:r w:rsidRPr="00E55D65">
        <w:rPr>
          <w:sz w:val="24"/>
          <w:szCs w:val="24"/>
        </w:rPr>
        <w:t xml:space="preserve">SARS-CoV-2 (also known as COVID-19) is not indicated on the chart as a reportable </w:t>
      </w:r>
      <w:r w:rsidR="00E55D65" w:rsidRPr="00E55D65">
        <w:rPr>
          <w:sz w:val="24"/>
          <w:szCs w:val="24"/>
        </w:rPr>
        <w:t>condition;</w:t>
      </w:r>
      <w:r w:rsidRPr="00E55D65">
        <w:rPr>
          <w:sz w:val="24"/>
          <w:szCs w:val="24"/>
        </w:rPr>
        <w:t xml:space="preserve"> however, nursing homes must report any point of care tests completed in the facility via </w:t>
      </w:r>
      <w:proofErr w:type="spellStart"/>
      <w:r w:rsidRPr="00E55D65">
        <w:rPr>
          <w:sz w:val="24"/>
          <w:szCs w:val="24"/>
        </w:rPr>
        <w:t>RedCap</w:t>
      </w:r>
      <w:proofErr w:type="spellEnd"/>
      <w:r w:rsidRPr="00E55D65">
        <w:rPr>
          <w:sz w:val="24"/>
          <w:szCs w:val="24"/>
        </w:rPr>
        <w:t xml:space="preserve"> or NHSN to the Iowa Department of Public Health.  If the </w:t>
      </w:r>
      <w:r w:rsidR="008173F2" w:rsidRPr="00E55D65">
        <w:rPr>
          <w:sz w:val="24"/>
          <w:szCs w:val="24"/>
        </w:rPr>
        <w:t xml:space="preserve">nursing home has an outbreak (identified by IDPH as 3 or more residents testing positive for COVID-19 in a </w:t>
      </w:r>
      <w:r w:rsidR="00E55D65" w:rsidRPr="00E55D65">
        <w:rPr>
          <w:sz w:val="24"/>
          <w:szCs w:val="24"/>
        </w:rPr>
        <w:t>14-day</w:t>
      </w:r>
      <w:r w:rsidR="008173F2" w:rsidRPr="00E55D65">
        <w:rPr>
          <w:sz w:val="24"/>
          <w:szCs w:val="24"/>
        </w:rPr>
        <w:t xml:space="preserve"> </w:t>
      </w:r>
      <w:proofErr w:type="gramStart"/>
      <w:r w:rsidR="008173F2" w:rsidRPr="00E55D65">
        <w:rPr>
          <w:sz w:val="24"/>
          <w:szCs w:val="24"/>
        </w:rPr>
        <w:t>time period</w:t>
      </w:r>
      <w:proofErr w:type="gramEnd"/>
      <w:r w:rsidR="008173F2" w:rsidRPr="00E55D65">
        <w:rPr>
          <w:sz w:val="24"/>
          <w:szCs w:val="24"/>
        </w:rPr>
        <w:t xml:space="preserve">) IDPH requests that a </w:t>
      </w:r>
      <w:proofErr w:type="spellStart"/>
      <w:r w:rsidR="008173F2" w:rsidRPr="00E55D65">
        <w:rPr>
          <w:sz w:val="24"/>
          <w:szCs w:val="24"/>
        </w:rPr>
        <w:t>RedCap</w:t>
      </w:r>
      <w:proofErr w:type="spellEnd"/>
      <w:r w:rsidR="008173F2" w:rsidRPr="00E55D65">
        <w:rPr>
          <w:sz w:val="24"/>
          <w:szCs w:val="24"/>
        </w:rPr>
        <w:t xml:space="preserve"> survey be completed with information surrounding the COVID-19 outbreak.  The </w:t>
      </w:r>
      <w:proofErr w:type="spellStart"/>
      <w:r w:rsidR="008173F2" w:rsidRPr="00E55D65">
        <w:rPr>
          <w:sz w:val="24"/>
          <w:szCs w:val="24"/>
        </w:rPr>
        <w:t>RedCap</w:t>
      </w:r>
      <w:proofErr w:type="spellEnd"/>
      <w:r w:rsidR="008173F2" w:rsidRPr="00E55D65">
        <w:rPr>
          <w:sz w:val="24"/>
          <w:szCs w:val="24"/>
        </w:rPr>
        <w:t xml:space="preserve"> survey can be found </w:t>
      </w:r>
      <w:hyperlink r:id="rId13" w:history="1">
        <w:r w:rsidR="008173F2" w:rsidRPr="00E55D65">
          <w:rPr>
            <w:rStyle w:val="Hyperlink"/>
            <w:color w:val="007DB1"/>
            <w:sz w:val="24"/>
            <w:szCs w:val="24"/>
          </w:rPr>
          <w:t>here</w:t>
        </w:r>
      </w:hyperlink>
      <w:r w:rsidR="008173F2" w:rsidRPr="00E55D65">
        <w:rPr>
          <w:sz w:val="24"/>
          <w:szCs w:val="24"/>
        </w:rPr>
        <w:t xml:space="preserve">. </w:t>
      </w:r>
    </w:p>
    <w:p w14:paraId="6BFC0990" w14:textId="77777777" w:rsidR="00E55D65" w:rsidRDefault="0018608E" w:rsidP="00076145">
      <w:pPr>
        <w:rPr>
          <w:sz w:val="24"/>
          <w:szCs w:val="24"/>
        </w:rPr>
      </w:pPr>
      <w:r w:rsidRPr="00E55D65">
        <w:rPr>
          <w:sz w:val="24"/>
          <w:szCs w:val="24"/>
        </w:rPr>
        <w:t xml:space="preserve">In addition, nursing homes must follow the </w:t>
      </w:r>
      <w:r w:rsidR="003A607E" w:rsidRPr="00E55D65">
        <w:rPr>
          <w:sz w:val="24"/>
          <w:szCs w:val="24"/>
        </w:rPr>
        <w:t xml:space="preserve">policy and procedures for outbreak management, COVID-19 outbreaks and are encouraged to utilize the Checklist for LTC Facilities Experiencing a COVID-19 Outbreak from IDPH.  </w:t>
      </w:r>
    </w:p>
    <w:p w14:paraId="27C3B639" w14:textId="77777777" w:rsidR="00E55D65" w:rsidRDefault="00E55D65" w:rsidP="00076145">
      <w:pPr>
        <w:rPr>
          <w:sz w:val="24"/>
          <w:szCs w:val="24"/>
        </w:rPr>
      </w:pPr>
    </w:p>
    <w:p w14:paraId="0A702CDA" w14:textId="3F07C2A9" w:rsidR="001848FA" w:rsidRPr="00FC15FC" w:rsidRDefault="001848FA" w:rsidP="00076145">
      <w:pPr>
        <w:rPr>
          <w:sz w:val="24"/>
          <w:szCs w:val="24"/>
          <w:u w:val="single"/>
        </w:rPr>
      </w:pPr>
      <w:r w:rsidRPr="00FC15FC">
        <w:rPr>
          <w:b/>
          <w:bCs/>
          <w:sz w:val="24"/>
          <w:szCs w:val="24"/>
          <w:u w:val="single"/>
        </w:rPr>
        <w:lastRenderedPageBreak/>
        <w:t>Resources</w:t>
      </w:r>
    </w:p>
    <w:p w14:paraId="0B225F03" w14:textId="1EF899E1" w:rsidR="00DD3830" w:rsidRPr="00E55D65" w:rsidRDefault="000F5F09" w:rsidP="00E55D65">
      <w:pPr>
        <w:ind w:left="720" w:hanging="720"/>
        <w:rPr>
          <w:sz w:val="24"/>
          <w:szCs w:val="24"/>
        </w:rPr>
      </w:pPr>
      <w:r w:rsidRPr="00E55D65">
        <w:rPr>
          <w:sz w:val="24"/>
          <w:szCs w:val="24"/>
        </w:rPr>
        <w:t xml:space="preserve">IDPH. </w:t>
      </w:r>
      <w:r w:rsidR="001734C1" w:rsidRPr="00E55D65">
        <w:rPr>
          <w:i/>
          <w:iCs/>
          <w:sz w:val="24"/>
          <w:szCs w:val="24"/>
        </w:rPr>
        <w:t>CADE - Reportable Communicable Diseases and Infectious</w:t>
      </w:r>
      <w:r w:rsidR="001734C1" w:rsidRPr="00E55D65">
        <w:rPr>
          <w:i/>
          <w:iCs/>
          <w:sz w:val="24"/>
          <w:szCs w:val="24"/>
        </w:rPr>
        <w:t xml:space="preserve"> Conditions</w:t>
      </w:r>
      <w:r w:rsidRPr="00E55D65">
        <w:rPr>
          <w:sz w:val="24"/>
          <w:szCs w:val="24"/>
        </w:rPr>
        <w:t xml:space="preserve">. </w:t>
      </w:r>
      <w:r w:rsidR="00E55D65" w:rsidRPr="00E55D65">
        <w:rPr>
          <w:sz w:val="24"/>
          <w:szCs w:val="24"/>
        </w:rPr>
        <w:t xml:space="preserve">Accessed July 7, 2021. </w:t>
      </w:r>
      <w:r w:rsidRPr="00E55D65">
        <w:rPr>
          <w:rStyle w:val="Hyperlink"/>
          <w:color w:val="007DB1"/>
          <w:sz w:val="24"/>
          <w:szCs w:val="24"/>
        </w:rPr>
        <w:t>https://idph.iowa.gov/CADE/reportable-diseases</w:t>
      </w:r>
    </w:p>
    <w:p w14:paraId="24B6622F" w14:textId="08A93A16" w:rsidR="000F5F09" w:rsidRPr="00E55D65" w:rsidRDefault="000F5F09" w:rsidP="000F5F09">
      <w:pPr>
        <w:ind w:left="720" w:hanging="720"/>
        <w:rPr>
          <w:sz w:val="24"/>
          <w:szCs w:val="24"/>
        </w:rPr>
      </w:pPr>
      <w:r w:rsidRPr="00E55D65">
        <w:rPr>
          <w:sz w:val="24"/>
          <w:szCs w:val="24"/>
        </w:rPr>
        <w:t xml:space="preserve">CMS. (2017, Nov. 2). </w:t>
      </w:r>
      <w:r w:rsidRPr="00E55D65">
        <w:rPr>
          <w:i/>
          <w:iCs/>
          <w:sz w:val="24"/>
          <w:szCs w:val="24"/>
        </w:rPr>
        <w:t>State Operations Manual, Appendix PP – Guidance to Surveyors for Long Term Care Facilities, F880</w:t>
      </w:r>
      <w:r w:rsidRPr="00E55D65">
        <w:rPr>
          <w:sz w:val="24"/>
          <w:szCs w:val="24"/>
        </w:rPr>
        <w:t xml:space="preserve">. </w:t>
      </w:r>
      <w:hyperlink r:id="rId14" w:history="1">
        <w:r w:rsidRPr="00E55D65">
          <w:rPr>
            <w:rStyle w:val="Hyperlink"/>
            <w:color w:val="007DB1"/>
            <w:sz w:val="24"/>
            <w:szCs w:val="24"/>
          </w:rPr>
          <w:t>https://www.cms.gov/Medicare/Provider-Enrollment-and-Certification/GuidanceforLawsAndRegulations/Downloads/Appendix-PP-State-Operations-Manual.pdf</w:t>
        </w:r>
      </w:hyperlink>
      <w:r w:rsidRPr="00E55D65">
        <w:rPr>
          <w:color w:val="007DB1"/>
          <w:sz w:val="24"/>
          <w:szCs w:val="24"/>
        </w:rPr>
        <w:t xml:space="preserve"> </w:t>
      </w:r>
    </w:p>
    <w:p w14:paraId="525B17B4" w14:textId="54218349" w:rsidR="006E3919" w:rsidRDefault="006E3919" w:rsidP="000F5F09"/>
    <w:sectPr w:rsidR="006E3919" w:rsidSect="001848FA">
      <w:footerReference w:type="default" r:id="rId15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CB77" w14:textId="77777777" w:rsidR="005C58F1" w:rsidRDefault="005C58F1" w:rsidP="00076145">
      <w:pPr>
        <w:spacing w:after="0" w:line="240" w:lineRule="auto"/>
      </w:pPr>
      <w:r>
        <w:separator/>
      </w:r>
    </w:p>
  </w:endnote>
  <w:endnote w:type="continuationSeparator" w:id="0">
    <w:p w14:paraId="27276883" w14:textId="77777777" w:rsidR="005C58F1" w:rsidRDefault="005C58F1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94695" w14:textId="77777777" w:rsidR="005C58F1" w:rsidRDefault="005C58F1" w:rsidP="00076145">
      <w:pPr>
        <w:spacing w:after="0" w:line="240" w:lineRule="auto"/>
      </w:pPr>
      <w:r>
        <w:separator/>
      </w:r>
    </w:p>
  </w:footnote>
  <w:footnote w:type="continuationSeparator" w:id="0">
    <w:p w14:paraId="41509C9D" w14:textId="77777777" w:rsidR="005C58F1" w:rsidRDefault="005C58F1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71A7"/>
    <w:multiLevelType w:val="hybridMultilevel"/>
    <w:tmpl w:val="BC54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4CD9"/>
    <w:multiLevelType w:val="hybridMultilevel"/>
    <w:tmpl w:val="D37A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669F"/>
    <w:multiLevelType w:val="hybridMultilevel"/>
    <w:tmpl w:val="6E7C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30954"/>
    <w:multiLevelType w:val="hybridMultilevel"/>
    <w:tmpl w:val="216E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7019"/>
    <w:multiLevelType w:val="hybridMultilevel"/>
    <w:tmpl w:val="990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B4933"/>
    <w:multiLevelType w:val="hybridMultilevel"/>
    <w:tmpl w:val="D34C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7567"/>
    <w:multiLevelType w:val="hybridMultilevel"/>
    <w:tmpl w:val="A5B6B79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603D5054"/>
    <w:multiLevelType w:val="hybridMultilevel"/>
    <w:tmpl w:val="E860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020B5"/>
    <w:multiLevelType w:val="hybridMultilevel"/>
    <w:tmpl w:val="04EE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E6AF0"/>
    <w:multiLevelType w:val="hybridMultilevel"/>
    <w:tmpl w:val="7BB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94445"/>
    <w:multiLevelType w:val="hybridMultilevel"/>
    <w:tmpl w:val="8986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F066A"/>
    <w:multiLevelType w:val="hybridMultilevel"/>
    <w:tmpl w:val="8F9E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8"/>
  </w:num>
  <w:num w:numId="5">
    <w:abstractNumId w:val="19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22"/>
  </w:num>
  <w:num w:numId="11">
    <w:abstractNumId w:val="7"/>
  </w:num>
  <w:num w:numId="12">
    <w:abstractNumId w:val="1"/>
  </w:num>
  <w:num w:numId="13">
    <w:abstractNumId w:val="4"/>
  </w:num>
  <w:num w:numId="14">
    <w:abstractNumId w:val="16"/>
  </w:num>
  <w:num w:numId="15">
    <w:abstractNumId w:val="8"/>
  </w:num>
  <w:num w:numId="16">
    <w:abstractNumId w:val="21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4"/>
  </w:num>
  <w:num w:numId="22">
    <w:abstractNumId w:val="20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3DFF"/>
    <w:rsid w:val="00004371"/>
    <w:rsid w:val="000061B2"/>
    <w:rsid w:val="000065C1"/>
    <w:rsid w:val="00006B21"/>
    <w:rsid w:val="00007566"/>
    <w:rsid w:val="00016E73"/>
    <w:rsid w:val="00030D07"/>
    <w:rsid w:val="00031061"/>
    <w:rsid w:val="00043DDA"/>
    <w:rsid w:val="00056C55"/>
    <w:rsid w:val="00064A8D"/>
    <w:rsid w:val="00065C8C"/>
    <w:rsid w:val="00076145"/>
    <w:rsid w:val="00077A74"/>
    <w:rsid w:val="00077DAE"/>
    <w:rsid w:val="00084D7A"/>
    <w:rsid w:val="000909F8"/>
    <w:rsid w:val="000C1786"/>
    <w:rsid w:val="000C4D7B"/>
    <w:rsid w:val="000C5B41"/>
    <w:rsid w:val="000D12E8"/>
    <w:rsid w:val="000D213F"/>
    <w:rsid w:val="000D351D"/>
    <w:rsid w:val="000D7053"/>
    <w:rsid w:val="000E4C55"/>
    <w:rsid w:val="000F5F09"/>
    <w:rsid w:val="00102E37"/>
    <w:rsid w:val="00105862"/>
    <w:rsid w:val="00123085"/>
    <w:rsid w:val="00127ED1"/>
    <w:rsid w:val="00141760"/>
    <w:rsid w:val="00142793"/>
    <w:rsid w:val="001570F9"/>
    <w:rsid w:val="001655CB"/>
    <w:rsid w:val="001672E8"/>
    <w:rsid w:val="001734C1"/>
    <w:rsid w:val="00174976"/>
    <w:rsid w:val="00183588"/>
    <w:rsid w:val="0018416D"/>
    <w:rsid w:val="001848FA"/>
    <w:rsid w:val="0018608E"/>
    <w:rsid w:val="001A3C71"/>
    <w:rsid w:val="001A513F"/>
    <w:rsid w:val="001A794C"/>
    <w:rsid w:val="001B4478"/>
    <w:rsid w:val="001B4706"/>
    <w:rsid w:val="001D1AEC"/>
    <w:rsid w:val="001D4888"/>
    <w:rsid w:val="001E0029"/>
    <w:rsid w:val="001E560C"/>
    <w:rsid w:val="001F3875"/>
    <w:rsid w:val="002155ED"/>
    <w:rsid w:val="002170C6"/>
    <w:rsid w:val="00237DE7"/>
    <w:rsid w:val="002423E8"/>
    <w:rsid w:val="002552F1"/>
    <w:rsid w:val="00257EA1"/>
    <w:rsid w:val="002672CE"/>
    <w:rsid w:val="00267B88"/>
    <w:rsid w:val="00272D84"/>
    <w:rsid w:val="00277EA1"/>
    <w:rsid w:val="00280C7F"/>
    <w:rsid w:val="002833D4"/>
    <w:rsid w:val="002877C7"/>
    <w:rsid w:val="00296E2C"/>
    <w:rsid w:val="002A7FFC"/>
    <w:rsid w:val="002B637A"/>
    <w:rsid w:val="002E6900"/>
    <w:rsid w:val="002F219A"/>
    <w:rsid w:val="003041F7"/>
    <w:rsid w:val="00304ACE"/>
    <w:rsid w:val="00305CB5"/>
    <w:rsid w:val="003073E5"/>
    <w:rsid w:val="0031082D"/>
    <w:rsid w:val="00310C80"/>
    <w:rsid w:val="00325BD3"/>
    <w:rsid w:val="00332397"/>
    <w:rsid w:val="00335015"/>
    <w:rsid w:val="00337F6A"/>
    <w:rsid w:val="00351282"/>
    <w:rsid w:val="00363A16"/>
    <w:rsid w:val="00384D43"/>
    <w:rsid w:val="00393D00"/>
    <w:rsid w:val="00395774"/>
    <w:rsid w:val="003A607E"/>
    <w:rsid w:val="003A788C"/>
    <w:rsid w:val="003B0C4C"/>
    <w:rsid w:val="003D005A"/>
    <w:rsid w:val="003E2B66"/>
    <w:rsid w:val="003E3040"/>
    <w:rsid w:val="00400937"/>
    <w:rsid w:val="00411B56"/>
    <w:rsid w:val="00412844"/>
    <w:rsid w:val="004232F0"/>
    <w:rsid w:val="0043075B"/>
    <w:rsid w:val="00432BD3"/>
    <w:rsid w:val="004410D9"/>
    <w:rsid w:val="00442B10"/>
    <w:rsid w:val="00453DA1"/>
    <w:rsid w:val="00461D62"/>
    <w:rsid w:val="00464FF1"/>
    <w:rsid w:val="00467307"/>
    <w:rsid w:val="004766E1"/>
    <w:rsid w:val="00476F2B"/>
    <w:rsid w:val="004A16C6"/>
    <w:rsid w:val="004A73A6"/>
    <w:rsid w:val="004B410E"/>
    <w:rsid w:val="004B6B13"/>
    <w:rsid w:val="004C3260"/>
    <w:rsid w:val="004E3694"/>
    <w:rsid w:val="004E5885"/>
    <w:rsid w:val="004F0971"/>
    <w:rsid w:val="004F6270"/>
    <w:rsid w:val="004F771D"/>
    <w:rsid w:val="00510133"/>
    <w:rsid w:val="005341B2"/>
    <w:rsid w:val="00563A94"/>
    <w:rsid w:val="00584E02"/>
    <w:rsid w:val="005B6F47"/>
    <w:rsid w:val="005C491C"/>
    <w:rsid w:val="005C58F1"/>
    <w:rsid w:val="005D48DA"/>
    <w:rsid w:val="005D6827"/>
    <w:rsid w:val="005D6E5A"/>
    <w:rsid w:val="005E38F4"/>
    <w:rsid w:val="005E434A"/>
    <w:rsid w:val="005F359D"/>
    <w:rsid w:val="006032D5"/>
    <w:rsid w:val="006203AD"/>
    <w:rsid w:val="0062476E"/>
    <w:rsid w:val="00631BB4"/>
    <w:rsid w:val="00632AD6"/>
    <w:rsid w:val="00634030"/>
    <w:rsid w:val="00637E17"/>
    <w:rsid w:val="00641491"/>
    <w:rsid w:val="00670632"/>
    <w:rsid w:val="00671F7E"/>
    <w:rsid w:val="0068694B"/>
    <w:rsid w:val="0068770D"/>
    <w:rsid w:val="00694498"/>
    <w:rsid w:val="00694D77"/>
    <w:rsid w:val="006958A6"/>
    <w:rsid w:val="006A03EA"/>
    <w:rsid w:val="006B2DBD"/>
    <w:rsid w:val="006B324A"/>
    <w:rsid w:val="006B6FF5"/>
    <w:rsid w:val="006E3919"/>
    <w:rsid w:val="00717E83"/>
    <w:rsid w:val="0076449C"/>
    <w:rsid w:val="00764F7C"/>
    <w:rsid w:val="00775787"/>
    <w:rsid w:val="00776966"/>
    <w:rsid w:val="007849A6"/>
    <w:rsid w:val="00784DB0"/>
    <w:rsid w:val="00794625"/>
    <w:rsid w:val="00795286"/>
    <w:rsid w:val="00795924"/>
    <w:rsid w:val="007B0554"/>
    <w:rsid w:val="007B6686"/>
    <w:rsid w:val="007C10D9"/>
    <w:rsid w:val="007C27B7"/>
    <w:rsid w:val="007D4791"/>
    <w:rsid w:val="007D7474"/>
    <w:rsid w:val="007E381D"/>
    <w:rsid w:val="007E62CB"/>
    <w:rsid w:val="007F028F"/>
    <w:rsid w:val="007F08EC"/>
    <w:rsid w:val="0081152F"/>
    <w:rsid w:val="008173F2"/>
    <w:rsid w:val="00820455"/>
    <w:rsid w:val="008249A0"/>
    <w:rsid w:val="0083317D"/>
    <w:rsid w:val="00836C97"/>
    <w:rsid w:val="00840CA3"/>
    <w:rsid w:val="008411EF"/>
    <w:rsid w:val="0084191F"/>
    <w:rsid w:val="00852EF2"/>
    <w:rsid w:val="008766B3"/>
    <w:rsid w:val="0088449A"/>
    <w:rsid w:val="00892B45"/>
    <w:rsid w:val="008940E3"/>
    <w:rsid w:val="00894A31"/>
    <w:rsid w:val="008A09D4"/>
    <w:rsid w:val="008C31EE"/>
    <w:rsid w:val="008D0077"/>
    <w:rsid w:val="008F3068"/>
    <w:rsid w:val="008F637B"/>
    <w:rsid w:val="008F63DD"/>
    <w:rsid w:val="009025D1"/>
    <w:rsid w:val="00910A57"/>
    <w:rsid w:val="00913B1C"/>
    <w:rsid w:val="0092641E"/>
    <w:rsid w:val="00930B65"/>
    <w:rsid w:val="009317FB"/>
    <w:rsid w:val="00934F56"/>
    <w:rsid w:val="009A1DD1"/>
    <w:rsid w:val="009A2F4D"/>
    <w:rsid w:val="009A7B9F"/>
    <w:rsid w:val="009B3036"/>
    <w:rsid w:val="009B414A"/>
    <w:rsid w:val="009D463A"/>
    <w:rsid w:val="009F2933"/>
    <w:rsid w:val="00A036F0"/>
    <w:rsid w:val="00A06CBA"/>
    <w:rsid w:val="00A07685"/>
    <w:rsid w:val="00A21913"/>
    <w:rsid w:val="00A342CD"/>
    <w:rsid w:val="00A41320"/>
    <w:rsid w:val="00A54B85"/>
    <w:rsid w:val="00A62106"/>
    <w:rsid w:val="00A6529A"/>
    <w:rsid w:val="00A74771"/>
    <w:rsid w:val="00A964A5"/>
    <w:rsid w:val="00AA6A29"/>
    <w:rsid w:val="00AB102D"/>
    <w:rsid w:val="00AD16E9"/>
    <w:rsid w:val="00AE1BBF"/>
    <w:rsid w:val="00AF12F6"/>
    <w:rsid w:val="00AF3417"/>
    <w:rsid w:val="00AF56E5"/>
    <w:rsid w:val="00B06631"/>
    <w:rsid w:val="00B103EA"/>
    <w:rsid w:val="00B15A90"/>
    <w:rsid w:val="00B21D2C"/>
    <w:rsid w:val="00B373DD"/>
    <w:rsid w:val="00B519C8"/>
    <w:rsid w:val="00B5323D"/>
    <w:rsid w:val="00B557ED"/>
    <w:rsid w:val="00B83077"/>
    <w:rsid w:val="00B83410"/>
    <w:rsid w:val="00B9155A"/>
    <w:rsid w:val="00BA7485"/>
    <w:rsid w:val="00BA77AE"/>
    <w:rsid w:val="00BB0BBF"/>
    <w:rsid w:val="00BB1DB6"/>
    <w:rsid w:val="00BB1E1B"/>
    <w:rsid w:val="00BC060B"/>
    <w:rsid w:val="00BC251E"/>
    <w:rsid w:val="00BC4048"/>
    <w:rsid w:val="00BD333B"/>
    <w:rsid w:val="00BE104F"/>
    <w:rsid w:val="00BF116F"/>
    <w:rsid w:val="00BF1D17"/>
    <w:rsid w:val="00C046BD"/>
    <w:rsid w:val="00C15A2E"/>
    <w:rsid w:val="00C204A5"/>
    <w:rsid w:val="00C26FDA"/>
    <w:rsid w:val="00C33FA2"/>
    <w:rsid w:val="00C3774D"/>
    <w:rsid w:val="00C474E1"/>
    <w:rsid w:val="00C519AE"/>
    <w:rsid w:val="00C54262"/>
    <w:rsid w:val="00C64494"/>
    <w:rsid w:val="00C666BF"/>
    <w:rsid w:val="00C802ED"/>
    <w:rsid w:val="00C935E6"/>
    <w:rsid w:val="00CA0096"/>
    <w:rsid w:val="00CC5BFE"/>
    <w:rsid w:val="00CE1E9E"/>
    <w:rsid w:val="00CE7897"/>
    <w:rsid w:val="00D00BA1"/>
    <w:rsid w:val="00D30357"/>
    <w:rsid w:val="00D44B44"/>
    <w:rsid w:val="00D54BA5"/>
    <w:rsid w:val="00D62FB7"/>
    <w:rsid w:val="00D76AAC"/>
    <w:rsid w:val="00D823C3"/>
    <w:rsid w:val="00D82544"/>
    <w:rsid w:val="00D86B86"/>
    <w:rsid w:val="00DA22F9"/>
    <w:rsid w:val="00DA26A0"/>
    <w:rsid w:val="00DB6366"/>
    <w:rsid w:val="00DC22DF"/>
    <w:rsid w:val="00DC4EF3"/>
    <w:rsid w:val="00DC7A9C"/>
    <w:rsid w:val="00DD286B"/>
    <w:rsid w:val="00DD3830"/>
    <w:rsid w:val="00DE5D5F"/>
    <w:rsid w:val="00DE6126"/>
    <w:rsid w:val="00E038C4"/>
    <w:rsid w:val="00E13B85"/>
    <w:rsid w:val="00E15EC4"/>
    <w:rsid w:val="00E1632D"/>
    <w:rsid w:val="00E2187D"/>
    <w:rsid w:val="00E22090"/>
    <w:rsid w:val="00E36FDA"/>
    <w:rsid w:val="00E4749B"/>
    <w:rsid w:val="00E50CEE"/>
    <w:rsid w:val="00E55D65"/>
    <w:rsid w:val="00E61B44"/>
    <w:rsid w:val="00E824D7"/>
    <w:rsid w:val="00E8795F"/>
    <w:rsid w:val="00E93C86"/>
    <w:rsid w:val="00E95C1A"/>
    <w:rsid w:val="00EA4ADA"/>
    <w:rsid w:val="00EA4DF1"/>
    <w:rsid w:val="00EA74F7"/>
    <w:rsid w:val="00EC1316"/>
    <w:rsid w:val="00EC4BAD"/>
    <w:rsid w:val="00ED2C3F"/>
    <w:rsid w:val="00ED4BD0"/>
    <w:rsid w:val="00EE0E6A"/>
    <w:rsid w:val="00EE2475"/>
    <w:rsid w:val="00EF27EA"/>
    <w:rsid w:val="00EF4C94"/>
    <w:rsid w:val="00F12F50"/>
    <w:rsid w:val="00F150EA"/>
    <w:rsid w:val="00F16518"/>
    <w:rsid w:val="00F26D3C"/>
    <w:rsid w:val="00F47C21"/>
    <w:rsid w:val="00F5619A"/>
    <w:rsid w:val="00F60FE6"/>
    <w:rsid w:val="00F63200"/>
    <w:rsid w:val="00F65A44"/>
    <w:rsid w:val="00F67683"/>
    <w:rsid w:val="00F7714B"/>
    <w:rsid w:val="00F807C9"/>
    <w:rsid w:val="00F84CA3"/>
    <w:rsid w:val="00F90ABA"/>
    <w:rsid w:val="00FB6AEE"/>
    <w:rsid w:val="00FC15FC"/>
    <w:rsid w:val="00FC6AAD"/>
    <w:rsid w:val="00FE326E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UnresolvedMention">
    <w:name w:val="Unresolved Mention"/>
    <w:basedOn w:val="DefaultParagraphFont"/>
    <w:uiPriority w:val="99"/>
    <w:semiHidden/>
    <w:unhideWhenUsed/>
    <w:rsid w:val="00E13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5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dcap.link/ltc.covid.repo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dph.iowa.gov/CADE/reportable-disea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ph.iowa.gov/CADE/reportable-diseas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ms.gov/Medicare/Provider-Enrollment-and-Certification/GuidanceforLawsAndRegulations/Downloads/Appendix-PP-State-Operations-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0A1A4-61C1-4D59-9660-B8505831EF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Rebecca Siglin</cp:lastModifiedBy>
  <cp:revision>12</cp:revision>
  <dcterms:created xsi:type="dcterms:W3CDTF">2021-07-07T19:54:00Z</dcterms:created>
  <dcterms:modified xsi:type="dcterms:W3CDTF">2021-07-08T15:48:00Z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